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1000" w:lineRule="exact"/>
        <w:jc w:val="distribute"/>
        <w:textAlignment w:val="auto"/>
        <w:rPr>
          <w:rFonts w:hint="eastAsia" w:ascii="方正宋三_GBK" w:hAnsi="方正宋三_GBK" w:eastAsia="方正宋三_GBK" w:cs="方正宋三_GBK"/>
          <w:b/>
          <w:bCs/>
          <w:color w:val="FF0000"/>
          <w:w w:val="80"/>
          <w:kern w:val="21"/>
          <w:sz w:val="84"/>
          <w:szCs w:val="84"/>
          <w:lang w:val="en-US" w:eastAsia="zh-CN"/>
        </w:rPr>
      </w:pPr>
      <w:r>
        <w:rPr>
          <w:rFonts w:hint="eastAsia" w:ascii="方正宋三_GBK" w:hAnsi="方正宋三_GBK" w:eastAsia="方正宋三_GBK" w:cs="方正宋三_GBK"/>
          <w:b/>
          <w:bCs/>
          <w:color w:val="FF0000"/>
          <w:w w:val="80"/>
          <w:kern w:val="21"/>
          <w:sz w:val="84"/>
          <w:szCs w:val="84"/>
          <w:lang w:val="en-US" w:eastAsia="zh-CN"/>
        </w:rPr>
        <w:t>中冶有色技术平台</w:t>
      </w:r>
    </w:p>
    <w:p>
      <w:pPr>
        <w:keepNext w:val="0"/>
        <w:keepLines w:val="0"/>
        <w:pageBreakBefore w:val="0"/>
        <w:widowControl w:val="0"/>
        <w:kinsoku/>
        <w:wordWrap/>
        <w:overflowPunct/>
        <w:topLinePunct w:val="0"/>
        <w:autoSpaceDE/>
        <w:autoSpaceDN/>
        <w:bidi w:val="0"/>
        <w:adjustRightInd/>
        <w:snapToGrid w:val="0"/>
        <w:spacing w:line="1000" w:lineRule="exact"/>
        <w:jc w:val="distribute"/>
        <w:textAlignment w:val="auto"/>
        <w:rPr>
          <w:rFonts w:hint="eastAsia" w:ascii="方正宋三_GBK" w:hAnsi="方正宋三_GBK" w:eastAsia="方正宋三_GBK" w:cs="方正宋三_GBK"/>
          <w:b/>
          <w:bCs/>
          <w:color w:val="FF0000"/>
          <w:w w:val="80"/>
          <w:kern w:val="21"/>
          <w:sz w:val="84"/>
          <w:szCs w:val="84"/>
          <w:lang w:val="en-US" w:eastAsia="zh-CN"/>
        </w:rPr>
      </w:pPr>
      <w:r>
        <w:rPr>
          <w:rFonts w:hint="eastAsia" w:ascii="方正宋三_GBK" w:hAnsi="方正宋三_GBK" w:eastAsia="方正宋三_GBK" w:cs="方正宋三_GBK"/>
          <w:b/>
          <w:bCs/>
          <w:color w:val="FF0000"/>
          <w:w w:val="80"/>
          <w:kern w:val="21"/>
          <w:sz w:val="84"/>
          <w:szCs w:val="84"/>
          <w:lang w:val="en-US" w:eastAsia="zh-CN"/>
        </w:rPr>
        <w:t>中冶有色技术网</w:t>
      </w:r>
    </w:p>
    <w:p>
      <w:pPr>
        <w:keepNext w:val="0"/>
        <w:keepLines w:val="0"/>
        <w:pageBreakBefore w:val="0"/>
        <w:widowControl w:val="0"/>
        <w:kinsoku/>
        <w:wordWrap/>
        <w:overflowPunct/>
        <w:topLinePunct w:val="0"/>
        <w:autoSpaceDE/>
        <w:autoSpaceDN/>
        <w:bidi w:val="0"/>
        <w:adjustRightInd/>
        <w:snapToGrid w:val="0"/>
        <w:spacing w:line="1000" w:lineRule="exact"/>
        <w:jc w:val="distribute"/>
        <w:textAlignment w:val="auto"/>
        <w:rPr>
          <w:rFonts w:hint="eastAsia" w:ascii="方正宋三_GBK" w:hAnsi="方正宋三_GBK" w:eastAsia="方正宋三_GBK" w:cs="方正宋三_GBK"/>
          <w:b/>
          <w:bCs/>
          <w:color w:val="FF0000"/>
          <w:w w:val="80"/>
          <w:kern w:val="21"/>
          <w:sz w:val="84"/>
          <w:szCs w:val="84"/>
          <w:lang w:val="en-US" w:eastAsia="zh-CN"/>
        </w:rPr>
      </w:pPr>
      <w:r>
        <w:rPr>
          <w:rFonts w:hint="eastAsia" w:ascii="方正宋三_GBK" w:hAnsi="方正宋三_GBK" w:eastAsia="方正宋三_GBK" w:cs="方正宋三_GBK"/>
          <w:b/>
          <w:bCs/>
          <w:color w:val="FF0000"/>
          <w:w w:val="80"/>
          <w:kern w:val="21"/>
          <w:sz w:val="84"/>
          <w:szCs w:val="84"/>
          <w:lang w:val="en-US" w:eastAsia="zh-CN"/>
        </w:rPr>
        <w:t>有色金属智库</w:t>
      </w:r>
    </w:p>
    <w:p>
      <w:pPr>
        <w:keepNext w:val="0"/>
        <w:keepLines w:val="0"/>
        <w:pageBreakBefore w:val="0"/>
        <w:widowControl w:val="0"/>
        <w:kinsoku/>
        <w:wordWrap/>
        <w:overflowPunct/>
        <w:topLinePunct w:val="0"/>
        <w:autoSpaceDE/>
        <w:autoSpaceDN/>
        <w:bidi w:val="0"/>
        <w:adjustRightInd/>
        <w:snapToGrid w:val="0"/>
        <w:spacing w:line="20" w:lineRule="atLeast"/>
        <w:jc w:val="distribute"/>
        <w:textAlignment w:val="auto"/>
        <w:rPr>
          <w:rFonts w:hint="eastAsia" w:ascii="宋体" w:hAnsi="宋体" w:eastAsia="宋体" w:cs="宋体"/>
          <w:b/>
          <w:bCs/>
          <w:sz w:val="18"/>
          <w:szCs w:val="18"/>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column">
                  <wp:posOffset>-133985</wp:posOffset>
                </wp:positionH>
                <wp:positionV relativeFrom="paragraph">
                  <wp:posOffset>114935</wp:posOffset>
                </wp:positionV>
                <wp:extent cx="6967220" cy="29845"/>
                <wp:effectExtent l="0" t="31750" r="5080" b="33655"/>
                <wp:wrapNone/>
                <wp:docPr id="1" name="直接连接符 1"/>
                <wp:cNvGraphicFramePr/>
                <a:graphic xmlns:a="http://schemas.openxmlformats.org/drawingml/2006/main">
                  <a:graphicData uri="http://schemas.microsoft.com/office/word/2010/wordprocessingShape">
                    <wps:wsp>
                      <wps:cNvCnPr/>
                      <wps:spPr>
                        <a:xfrm>
                          <a:off x="815975" y="3373120"/>
                          <a:ext cx="6967220" cy="29845"/>
                        </a:xfrm>
                        <a:prstGeom prst="line">
                          <a:avLst/>
                        </a:prstGeom>
                        <a:ln w="63500" cmpd="thinThick">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55pt;margin-top:9.05pt;height:2.35pt;width:548.6pt;z-index:251659264;mso-width-relative:page;mso-height-relative:page;" filled="f" stroked="t" coordsize="21600,21600" o:gfxdata="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yPB8XYAAAACgEAAA8AAAAAAAAAAQAgAAAAIgAAAGRycy9kb3ducmV2&#10;LnhtbFBLAQIUABQAAAAIAIdO4kCViUPa/AEAAMcDAAAOAAAAAAAAAAEAIAAAACcBAABkcnMvZTJv&#10;RG9jLnhtbFBLBQYAAAAABgAGAFkBAACVBQAAAAA=&#10;">
                <v:fill on="f" focussize="0,0"/>
                <v:stroke weight="5pt" color="#FF0000 [3204]" linestyle="thinThick" miterlimit="8" joinstyle="miter"/>
                <v:imagedata o:title=""/>
                <o:lock v:ext="edit" aspectratio="f"/>
              </v:line>
            </w:pict>
          </mc:Fallback>
        </mc:AlternateContent>
      </w:r>
      <w:r>
        <w:rPr>
          <w:rFonts w:hint="eastAsia" w:ascii="宋体" w:hAnsi="宋体" w:eastAsia="新宋体" w:cs="宋体"/>
          <w:b/>
          <w:bCs/>
          <w:color w:val="FF0000"/>
          <w:w w:val="80"/>
          <w:kern w:val="0"/>
          <w:sz w:val="18"/>
          <w:szCs w:val="18"/>
          <w:lang w:val="en-US" w:eastAsia="zh-CN"/>
        </w:rPr>
        <w:t xml:space="preserve"> </w:t>
      </w:r>
      <w:r>
        <w:rPr>
          <w:rFonts w:hint="eastAsia" w:ascii="宋体" w:hAnsi="宋体" w:cs="宋体"/>
          <w:b/>
          <w:bCs/>
          <w:w w:val="80"/>
          <w:sz w:val="18"/>
          <w:szCs w:val="18"/>
          <w:lang w:val="en-US" w:eastAsia="zh-CN"/>
        </w:rPr>
        <w:t xml:space="preserve">  </w:t>
      </w:r>
      <w:r>
        <w:rPr>
          <w:rFonts w:hint="eastAsia" w:ascii="宋体" w:hAnsi="宋体" w:cs="宋体"/>
          <w:b/>
          <w:bCs/>
          <w:sz w:val="18"/>
          <w:szCs w:val="18"/>
          <w:lang w:val="en-US" w:eastAsia="zh-CN"/>
        </w:rPr>
        <w:t xml:space="preserve">                                                         </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关于组织开展“有色金属环保产品级别评定”</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的邀请函</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各相关企业单位：</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大力发展有色金属环保产品是实现碳达峰、碳中和目标的重要途径之一，也是支撑有色金属绿色化发展建设的重要基础。为增强有色金属环保企产品诚信意识，提高行业自律水平，推动产品评价体系建设，增强企业的市场综合竞争力。中冶有色技术平台、中冶有色技术网、中国有色金属智库利用自有的专家资源优势，联合行业相关机构、媒体联合组织开展“有色金属环保产品级别评定”工作（以下简称级别评定工作）。</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中冶有色技术平台是集会议组织、互联网应用、技术对接服务为一体的综合性技术服务平台，涉及有色金属采矿、选矿、冶炼、加工、材料、资源循环、环境保护等众多领域。每年与有色金属领域组织开展交流活动；与中国有色金属学会联合开发有色金属智库、中冶有色技术网等网络信息平台；与中南大学、长沙有色设计院、有研科技集团、矿冶科技集团等多家高校、科研院所、企事业单位，联合发起成立中国有色金属产业技术创新战略联盟，为有色金属行业提供人才培养、技术交流、科技成果转化等科技服务。</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级别评定工作的开展将成为有色金属环保产品企业综合能力的重要证明，是促进企业在参与业务协调、项目推荐和设备选型采购方面享受到更多机会的重要举措。</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现将有关评定事宜通知如下：</w:t>
      </w:r>
    </w:p>
    <w:p>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default" w:ascii="仿宋" w:hAnsi="仿宋" w:eastAsia="仿宋" w:cs="仿宋"/>
          <w:b/>
          <w:bCs/>
          <w:sz w:val="28"/>
          <w:szCs w:val="36"/>
          <w:lang w:val="en-US" w:eastAsia="zh-CN"/>
        </w:rPr>
      </w:pPr>
      <w:r>
        <w:rPr>
          <w:rFonts w:hint="eastAsia" w:ascii="仿宋" w:hAnsi="仿宋" w:eastAsia="仿宋" w:cs="仿宋"/>
          <w:b/>
          <w:bCs/>
          <w:sz w:val="28"/>
          <w:szCs w:val="36"/>
          <w:lang w:val="en-US" w:eastAsia="zh-CN"/>
        </w:rPr>
        <w:t>一、申报原则</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仿宋" w:hAnsi="仿宋" w:eastAsia="仿宋" w:cs="仿宋"/>
          <w:sz w:val="28"/>
          <w:szCs w:val="36"/>
          <w:lang w:val="en-US" w:eastAsia="zh-CN"/>
        </w:rPr>
      </w:pPr>
      <w:r>
        <w:rPr>
          <w:rFonts w:hint="eastAsia" w:ascii="仿宋" w:hAnsi="仿宋" w:eastAsia="仿宋" w:cs="仿宋"/>
          <w:sz w:val="28"/>
          <w:szCs w:val="36"/>
          <w:lang w:val="en-US" w:eastAsia="zh-CN"/>
        </w:rPr>
        <w:t>级别评定工作以“权威性、先进性、实用性、经济性”为指导，根据企业自愿原则，每年每项产品申报一次，申报产品通过评定级别的有效期为2年。</w:t>
      </w:r>
    </w:p>
    <w:p>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二、申报对象</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1.级别评定工作在全国范围内开展，凡在有色金属产业链中涉及环保</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840" w:firstLineChars="3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产品与单位均可报名参与；</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2.级别评定工作实行产品单项申报、单项审核、集中评定的方式参与；</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3.每家单位产品/设备参与申报评定数额不超过5项；</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default" w:ascii="仿宋" w:hAnsi="仿宋" w:eastAsia="仿宋" w:cs="仿宋"/>
          <w:sz w:val="28"/>
          <w:szCs w:val="36"/>
          <w:lang w:val="en-US" w:eastAsia="zh-CN"/>
        </w:rPr>
      </w:pPr>
      <w:r>
        <w:rPr>
          <w:rFonts w:hint="eastAsia" w:ascii="仿宋" w:hAnsi="仿宋" w:eastAsia="仿宋" w:cs="仿宋"/>
          <w:b w:val="0"/>
          <w:bCs w:val="0"/>
          <w:sz w:val="28"/>
          <w:szCs w:val="36"/>
          <w:lang w:val="en-US" w:eastAsia="zh-CN"/>
        </w:rPr>
        <w:t>4.级别评定工作</w:t>
      </w:r>
      <w:r>
        <w:rPr>
          <w:rFonts w:hint="eastAsia" w:ascii="仿宋" w:hAnsi="仿宋" w:eastAsia="仿宋" w:cs="仿宋"/>
          <w:sz w:val="28"/>
          <w:szCs w:val="36"/>
          <w:lang w:val="en-US" w:eastAsia="zh-CN"/>
        </w:rPr>
        <w:t>资料申报不收取费用。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ascii="仿宋" w:hAnsi="仿宋" w:eastAsia="仿宋" w:cs="仿宋"/>
          <w:b/>
          <w:bCs/>
          <w:sz w:val="28"/>
          <w:szCs w:val="36"/>
          <w:lang w:val="en-US" w:eastAsia="zh-CN"/>
        </w:rPr>
      </w:pPr>
      <w:r>
        <w:rPr>
          <w:rFonts w:hint="eastAsia" w:ascii="仿宋" w:hAnsi="仿宋" w:eastAsia="仿宋" w:cs="仿宋"/>
          <w:b/>
          <w:bCs/>
          <w:sz w:val="28"/>
          <w:szCs w:val="36"/>
          <w:lang w:val="en-US" w:eastAsia="zh-CN"/>
        </w:rPr>
        <w:t>三、评定机构</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sz w:val="28"/>
          <w:szCs w:val="36"/>
          <w:lang w:val="en-US" w:eastAsia="zh-CN"/>
        </w:rPr>
        <w:t>1.</w:t>
      </w:r>
      <w:r>
        <w:rPr>
          <w:rFonts w:hint="eastAsia" w:ascii="仿宋" w:hAnsi="仿宋" w:eastAsia="仿宋" w:cs="仿宋"/>
          <w:b w:val="0"/>
          <w:bCs w:val="0"/>
          <w:sz w:val="28"/>
          <w:szCs w:val="36"/>
          <w:lang w:val="en-US" w:eastAsia="zh-CN"/>
        </w:rPr>
        <w:t>中冶有色技术平台负责发布和管理；</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2.中冶有色技术网负责公示及推广；</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3.有色金属智库邀请领域内知名高校、设计院、工程公司、终端用户</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840" w:firstLineChars="3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等单位的专家、领导组成“评审专家组”承担，并出具评定意见；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4.北方中冶（北京）工程咨询有限公司负责组织实施。</w:t>
      </w:r>
    </w:p>
    <w:p>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四、评定流程</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1.申报初评：本次级别评定工作按照产品应用领域分成废水治理、大</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840" w:firstLineChars="3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气治理、固废处理共3组公开征集申报，组委会对各组申报材料进</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840" w:firstLineChars="3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行筛选，包括申报对象资格、申报材料的规范、审验以及数量等，</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840" w:firstLineChars="3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初审合格者进入评审程序；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2.媒体公示：初评合格的申报材料，集中在活动媒体网络平台公示；</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3.专家组成：由有色金属智库在有色金属环保专家库成员中选取9</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840" w:firstLineChars="300"/>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位专家组成当期评审专家组；</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4.专家终评：全部完成媒体公示后，将由评审专家组对所有参评产品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840" w:firstLineChars="3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进行终评，产生相应评定等级，出具产品评定意见；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5.等级设置：AAAAA级、AAAA级、AAA级；</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6.结果公布：最终获得相应评定等级的参与单位，由主办单位统一授</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840" w:firstLineChars="3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予荣誉称号，颁发荣誉证书，并通过媒体向社会公布。</w:t>
      </w:r>
    </w:p>
    <w:p>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default" w:ascii="仿宋" w:hAnsi="仿宋" w:eastAsia="仿宋" w:cs="仿宋"/>
          <w:b/>
          <w:bCs/>
          <w:sz w:val="28"/>
          <w:szCs w:val="36"/>
          <w:lang w:val="en-US" w:eastAsia="zh-CN"/>
        </w:rPr>
      </w:pPr>
      <w:r>
        <w:rPr>
          <w:rFonts w:hint="eastAsia" w:ascii="仿宋" w:hAnsi="仿宋" w:eastAsia="仿宋" w:cs="仿宋"/>
          <w:b/>
          <w:bCs/>
          <w:sz w:val="28"/>
          <w:szCs w:val="36"/>
          <w:lang w:val="en-US" w:eastAsia="zh-CN"/>
        </w:rPr>
        <w:t>五、参与说明</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w:t>
      </w:r>
      <w:r>
        <w:rPr>
          <w:rFonts w:hint="default" w:ascii="仿宋" w:hAnsi="仿宋" w:eastAsia="仿宋" w:cs="仿宋"/>
          <w:b w:val="0"/>
          <w:bCs w:val="0"/>
          <w:sz w:val="28"/>
          <w:szCs w:val="36"/>
          <w:lang w:val="en-US" w:eastAsia="zh-CN"/>
        </w:rPr>
        <w:t>为保证</w:t>
      </w:r>
      <w:r>
        <w:rPr>
          <w:rFonts w:hint="eastAsia" w:ascii="仿宋" w:hAnsi="仿宋" w:eastAsia="仿宋" w:cs="仿宋"/>
          <w:b w:val="0"/>
          <w:bCs w:val="0"/>
          <w:sz w:val="28"/>
          <w:szCs w:val="36"/>
          <w:lang w:val="en-US" w:eastAsia="zh-CN"/>
        </w:rPr>
        <w:t>级别评定工作</w:t>
      </w:r>
      <w:r>
        <w:rPr>
          <w:rFonts w:hint="default" w:ascii="仿宋" w:hAnsi="仿宋" w:eastAsia="仿宋" w:cs="仿宋"/>
          <w:b w:val="0"/>
          <w:bCs w:val="0"/>
          <w:sz w:val="28"/>
          <w:szCs w:val="36"/>
          <w:lang w:val="en-US" w:eastAsia="zh-CN"/>
        </w:rPr>
        <w:t>的公平、公正、公开，畅通行业监督意见，主</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840" w:firstLineChars="300"/>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办方将开设咨询及反馈电话，接受和解答各方面的意见</w:t>
      </w:r>
      <w:r>
        <w:rPr>
          <w:rFonts w:hint="eastAsia" w:ascii="仿宋" w:hAnsi="仿宋" w:eastAsia="仿宋" w:cs="仿宋"/>
          <w:b w:val="0"/>
          <w:bCs w:val="0"/>
          <w:sz w:val="28"/>
          <w:szCs w:val="36"/>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2.本次级别评定工作</w:t>
      </w:r>
      <w:r>
        <w:rPr>
          <w:rFonts w:hint="default" w:ascii="仿宋" w:hAnsi="仿宋" w:eastAsia="仿宋" w:cs="仿宋"/>
          <w:b w:val="0"/>
          <w:bCs w:val="0"/>
          <w:sz w:val="28"/>
          <w:szCs w:val="36"/>
          <w:lang w:val="en-US" w:eastAsia="zh-CN"/>
        </w:rPr>
        <w:t>所需</w:t>
      </w:r>
      <w:r>
        <w:rPr>
          <w:rFonts w:hint="eastAsia" w:ascii="仿宋" w:hAnsi="仿宋" w:eastAsia="仿宋" w:cs="仿宋"/>
          <w:b w:val="0"/>
          <w:bCs w:val="0"/>
          <w:sz w:val="28"/>
          <w:szCs w:val="36"/>
          <w:lang w:val="en-US" w:eastAsia="zh-CN"/>
        </w:rPr>
        <w:t>申报材料需</w:t>
      </w:r>
      <w:r>
        <w:rPr>
          <w:rFonts w:hint="default" w:ascii="仿宋" w:hAnsi="仿宋" w:eastAsia="仿宋" w:cs="仿宋"/>
          <w:b w:val="0"/>
          <w:bCs w:val="0"/>
          <w:sz w:val="28"/>
          <w:szCs w:val="36"/>
          <w:lang w:val="en-US" w:eastAsia="zh-CN"/>
        </w:rPr>
        <w:t>经所在单位审核</w:t>
      </w:r>
      <w:r>
        <w:rPr>
          <w:rFonts w:hint="eastAsia" w:ascii="仿宋" w:hAnsi="仿宋" w:eastAsia="仿宋" w:cs="仿宋"/>
          <w:b w:val="0"/>
          <w:bCs w:val="0"/>
          <w:sz w:val="28"/>
          <w:szCs w:val="36"/>
          <w:lang w:val="en-US" w:eastAsia="zh-CN"/>
        </w:rPr>
        <w:t>同意，申报表请</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840" w:firstLineChars="300"/>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见附件一；</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w:t>
      </w:r>
      <w:r>
        <w:rPr>
          <w:rFonts w:hint="default" w:ascii="仿宋" w:hAnsi="仿宋" w:eastAsia="仿宋" w:cs="仿宋"/>
          <w:b w:val="0"/>
          <w:bCs w:val="0"/>
          <w:sz w:val="28"/>
          <w:szCs w:val="36"/>
          <w:lang w:val="en-US" w:eastAsia="zh-CN"/>
        </w:rPr>
        <w:t>申报的</w:t>
      </w:r>
      <w:r>
        <w:rPr>
          <w:rFonts w:hint="eastAsia" w:ascii="仿宋" w:hAnsi="仿宋" w:eastAsia="仿宋" w:cs="仿宋"/>
          <w:b w:val="0"/>
          <w:bCs w:val="0"/>
          <w:sz w:val="28"/>
          <w:szCs w:val="36"/>
          <w:lang w:val="en-US" w:eastAsia="zh-CN"/>
        </w:rPr>
        <w:t>材料请制作为word格式，文件名以：产品评定+组别名称+单</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840" w:firstLineChars="300"/>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位+设备/产品名称+联系人+电话；</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w:t>
      </w:r>
      <w:r>
        <w:rPr>
          <w:rFonts w:hint="default" w:ascii="仿宋" w:hAnsi="仿宋" w:eastAsia="仿宋" w:cs="仿宋"/>
          <w:b w:val="0"/>
          <w:bCs w:val="0"/>
          <w:sz w:val="28"/>
          <w:szCs w:val="36"/>
          <w:lang w:val="en-US" w:eastAsia="zh-CN"/>
        </w:rPr>
        <w:t>本次</w:t>
      </w:r>
      <w:r>
        <w:rPr>
          <w:rFonts w:hint="eastAsia" w:ascii="仿宋" w:hAnsi="仿宋" w:eastAsia="仿宋" w:cs="仿宋"/>
          <w:b w:val="0"/>
          <w:bCs w:val="0"/>
          <w:sz w:val="28"/>
          <w:szCs w:val="36"/>
          <w:lang w:val="en-US" w:eastAsia="zh-CN"/>
        </w:rPr>
        <w:t>评定工作</w:t>
      </w:r>
      <w:r>
        <w:rPr>
          <w:rFonts w:hint="default" w:ascii="仿宋" w:hAnsi="仿宋" w:eastAsia="仿宋" w:cs="仿宋"/>
          <w:b w:val="0"/>
          <w:bCs w:val="0"/>
          <w:sz w:val="28"/>
          <w:szCs w:val="36"/>
          <w:lang w:val="en-US" w:eastAsia="zh-CN"/>
        </w:rPr>
        <w:t>中发生的知识产权争议或纠纷均由参评企业承担</w:t>
      </w:r>
      <w:r>
        <w:rPr>
          <w:rFonts w:hint="eastAsia" w:ascii="仿宋" w:hAnsi="仿宋" w:eastAsia="仿宋" w:cs="仿宋"/>
          <w:b w:val="0"/>
          <w:bCs w:val="0"/>
          <w:sz w:val="28"/>
          <w:szCs w:val="36"/>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5.对于进入终评的产品需缴纳2500元/项，用于评审费、专家费、证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840" w:firstLineChars="300"/>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书费及其他费用；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6.</w:t>
      </w:r>
      <w:r>
        <w:rPr>
          <w:rFonts w:hint="default" w:ascii="仿宋" w:hAnsi="仿宋" w:eastAsia="仿宋" w:cs="仿宋"/>
          <w:b w:val="0"/>
          <w:bCs w:val="0"/>
          <w:sz w:val="28"/>
          <w:szCs w:val="36"/>
          <w:lang w:val="en-US" w:eastAsia="zh-CN"/>
        </w:rPr>
        <w:t>如参评企业／个人发生有损</w:t>
      </w:r>
      <w:r>
        <w:rPr>
          <w:rFonts w:hint="eastAsia" w:ascii="仿宋" w:hAnsi="仿宋" w:eastAsia="仿宋" w:cs="仿宋"/>
          <w:b w:val="0"/>
          <w:bCs w:val="0"/>
          <w:sz w:val="28"/>
          <w:szCs w:val="36"/>
          <w:lang w:val="en-US" w:eastAsia="zh-CN"/>
        </w:rPr>
        <w:t>本次工作</w:t>
      </w:r>
      <w:r>
        <w:rPr>
          <w:rFonts w:hint="default" w:ascii="仿宋" w:hAnsi="仿宋" w:eastAsia="仿宋" w:cs="仿宋"/>
          <w:b w:val="0"/>
          <w:bCs w:val="0"/>
          <w:sz w:val="28"/>
          <w:szCs w:val="36"/>
          <w:lang w:val="en-US" w:eastAsia="zh-CN"/>
        </w:rPr>
        <w:t>行业声誉的行为，组委会有权</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840" w:firstLineChars="300"/>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取消其参评资格</w:t>
      </w:r>
      <w:r>
        <w:rPr>
          <w:rFonts w:hint="eastAsia" w:ascii="仿宋" w:hAnsi="仿宋" w:eastAsia="仿宋" w:cs="仿宋"/>
          <w:b w:val="0"/>
          <w:bCs w:val="0"/>
          <w:sz w:val="28"/>
          <w:szCs w:val="36"/>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7.</w:t>
      </w:r>
      <w:r>
        <w:rPr>
          <w:rFonts w:hint="default" w:ascii="仿宋" w:hAnsi="仿宋" w:eastAsia="仿宋" w:cs="仿宋"/>
          <w:b w:val="0"/>
          <w:bCs w:val="0"/>
          <w:sz w:val="28"/>
          <w:szCs w:val="36"/>
          <w:lang w:val="en-US" w:eastAsia="zh-CN"/>
        </w:rPr>
        <w:t>本次</w:t>
      </w:r>
      <w:r>
        <w:rPr>
          <w:rFonts w:hint="eastAsia" w:ascii="仿宋" w:hAnsi="仿宋" w:eastAsia="仿宋" w:cs="仿宋"/>
          <w:b w:val="0"/>
          <w:bCs w:val="0"/>
          <w:sz w:val="28"/>
          <w:szCs w:val="36"/>
          <w:lang w:val="en-US" w:eastAsia="zh-CN"/>
        </w:rPr>
        <w:t>级别评定</w:t>
      </w:r>
      <w:r>
        <w:rPr>
          <w:rFonts w:hint="default" w:ascii="仿宋" w:hAnsi="仿宋" w:eastAsia="仿宋" w:cs="仿宋"/>
          <w:b w:val="0"/>
          <w:bCs w:val="0"/>
          <w:sz w:val="28"/>
          <w:szCs w:val="36"/>
          <w:lang w:val="en-US" w:eastAsia="zh-CN"/>
        </w:rPr>
        <w:t>主办方拥有最终解释权</w:t>
      </w:r>
      <w:r>
        <w:rPr>
          <w:rFonts w:hint="eastAsia" w:ascii="仿宋" w:hAnsi="仿宋" w:eastAsia="仿宋" w:cs="仿宋"/>
          <w:b w:val="0"/>
          <w:bCs w:val="0"/>
          <w:sz w:val="28"/>
          <w:szCs w:val="36"/>
          <w:lang w:val="en-US" w:eastAsia="zh-CN"/>
        </w:rPr>
        <w:t>，</w:t>
      </w:r>
      <w:r>
        <w:rPr>
          <w:rFonts w:hint="default" w:ascii="仿宋" w:hAnsi="仿宋" w:eastAsia="仿宋" w:cs="仿宋"/>
          <w:b w:val="0"/>
          <w:bCs w:val="0"/>
          <w:sz w:val="28"/>
          <w:szCs w:val="36"/>
          <w:lang w:val="en-US" w:eastAsia="zh-CN"/>
        </w:rPr>
        <w:t>未尽事宜另行补充说明</w:t>
      </w:r>
      <w:r>
        <w:rPr>
          <w:rFonts w:hint="eastAsia" w:ascii="仿宋" w:hAnsi="仿宋" w:eastAsia="仿宋" w:cs="仿宋"/>
          <w:b w:val="0"/>
          <w:bCs w:val="0"/>
          <w:sz w:val="28"/>
          <w:szCs w:val="36"/>
          <w:lang w:val="en-US" w:eastAsia="zh-CN"/>
        </w:rPr>
        <w:t>。</w:t>
      </w:r>
    </w:p>
    <w:p>
      <w:pPr>
        <w:keepNext w:val="0"/>
        <w:keepLines w:val="0"/>
        <w:pageBreakBefore w:val="0"/>
        <w:widowControl w:val="0"/>
        <w:kinsoku/>
        <w:wordWrap w:val="0"/>
        <w:overflowPunct/>
        <w:topLinePunct w:val="0"/>
        <w:autoSpaceDE/>
        <w:autoSpaceDN/>
        <w:bidi w:val="0"/>
        <w:adjustRightInd/>
        <w:snapToGrid/>
        <w:spacing w:line="480" w:lineRule="exact"/>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4"/>
          <w:szCs w:val="24"/>
          <w:lang w:val="en-US" w:eastAsia="zh-CN"/>
        </w:rPr>
        <w:t xml:space="preserve">附件一： </w:t>
      </w:r>
      <w:r>
        <w:rPr>
          <w:rFonts w:hint="eastAsia" w:ascii="仿宋" w:hAnsi="仿宋" w:eastAsia="仿宋" w:cs="仿宋"/>
          <w:b/>
          <w:bCs/>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1807" w:firstLineChars="500"/>
        <w:jc w:val="left"/>
        <w:textAlignment w:val="auto"/>
        <w:rPr>
          <w:rFonts w:hint="eastAsia" w:ascii="仿宋" w:hAnsi="仿宋" w:eastAsia="仿宋" w:cs="仿宋"/>
          <w:b/>
          <w:bCs/>
          <w:sz w:val="48"/>
          <w:szCs w:val="56"/>
          <w:lang w:val="en-US" w:eastAsia="zh-CN"/>
        </w:rPr>
      </w:pPr>
      <w:r>
        <w:rPr>
          <w:rFonts w:hint="eastAsia" w:ascii="仿宋" w:hAnsi="仿宋" w:eastAsia="仿宋" w:cs="仿宋"/>
          <w:b/>
          <w:bCs/>
          <w:sz w:val="36"/>
          <w:szCs w:val="36"/>
          <w:lang w:val="en-US" w:eastAsia="zh-CN"/>
        </w:rPr>
        <w:t>有色金属环保产品级别评定申报表</w:t>
      </w:r>
    </w:p>
    <w:tbl>
      <w:tblPr>
        <w:tblStyle w:val="4"/>
        <w:tblW w:w="9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068"/>
        <w:gridCol w:w="1047"/>
        <w:gridCol w:w="840"/>
        <w:gridCol w:w="1680"/>
        <w:gridCol w:w="945"/>
        <w:gridCol w:w="178"/>
        <w:gridCol w:w="900"/>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2068" w:type="dxa"/>
            <w:noWrap w:val="0"/>
            <w:vAlign w:val="top"/>
          </w:tcPr>
          <w:p>
            <w:pPr>
              <w:keepNext w:val="0"/>
              <w:keepLines w:val="0"/>
              <w:pageBreakBefore w:val="0"/>
              <w:widowControl w:val="0"/>
              <w:kinsoku/>
              <w:wordWrap w:val="0"/>
              <w:overflowPunct/>
              <w:topLinePunct w:val="0"/>
              <w:autoSpaceDE/>
              <w:autoSpaceDN/>
              <w:bidi w:val="0"/>
              <w:adjustRightInd/>
              <w:snapToGrid/>
              <w:jc w:val="both"/>
              <w:textAlignment w:val="auto"/>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产品/技术名称</w:t>
            </w:r>
          </w:p>
        </w:tc>
        <w:tc>
          <w:tcPr>
            <w:tcW w:w="7153" w:type="dxa"/>
            <w:gridSpan w:val="7"/>
            <w:noWrap w:val="0"/>
            <w:vAlign w:val="top"/>
          </w:tcPr>
          <w:p>
            <w:pPr>
              <w:keepNext w:val="0"/>
              <w:keepLines w:val="0"/>
              <w:pageBreakBefore w:val="0"/>
              <w:widowControl w:val="0"/>
              <w:kinsoku/>
              <w:wordWrap w:val="0"/>
              <w:overflowPunct/>
              <w:topLinePunct w:val="0"/>
              <w:autoSpaceDE/>
              <w:autoSpaceDN/>
              <w:bidi w:val="0"/>
              <w:adjustRightInd/>
              <w:snapToGrid/>
              <w:ind w:firstLine="560" w:firstLineChars="200"/>
              <w:jc w:val="right"/>
              <w:textAlignment w:val="auto"/>
              <w:rPr>
                <w:rFonts w:hint="eastAsia" w:ascii="仿宋" w:hAnsi="仿宋" w:eastAsia="仿宋" w:cs="仿宋"/>
                <w:sz w:val="28"/>
                <w:szCs w:val="36"/>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2068" w:type="dxa"/>
            <w:noWrap w:val="0"/>
            <w:vAlign w:val="top"/>
          </w:tcPr>
          <w:p>
            <w:pPr>
              <w:keepNext w:val="0"/>
              <w:keepLines w:val="0"/>
              <w:pageBreakBefore w:val="0"/>
              <w:widowControl w:val="0"/>
              <w:kinsoku/>
              <w:wordWrap w:val="0"/>
              <w:overflowPunct/>
              <w:topLinePunct w:val="0"/>
              <w:autoSpaceDE/>
              <w:autoSpaceDN/>
              <w:bidi w:val="0"/>
              <w:adjustRightInd/>
              <w:snapToGrid/>
              <w:jc w:val="both"/>
              <w:textAlignment w:val="auto"/>
              <w:rPr>
                <w:rFonts w:hint="default" w:ascii="仿宋" w:hAnsi="仿宋" w:eastAsia="仿宋" w:cs="仿宋"/>
                <w:sz w:val="28"/>
                <w:szCs w:val="36"/>
                <w:lang w:val="en-US" w:eastAsia="zh-CN"/>
              </w:rPr>
            </w:pPr>
            <w:r>
              <w:rPr>
                <w:rFonts w:hint="eastAsia" w:ascii="仿宋" w:hAnsi="仿宋" w:eastAsia="仿宋" w:cs="仿宋"/>
                <w:sz w:val="28"/>
                <w:szCs w:val="36"/>
                <w:lang w:val="en-US" w:eastAsia="zh-CN"/>
              </w:rPr>
              <w:t>单位名称</w:t>
            </w:r>
          </w:p>
        </w:tc>
        <w:tc>
          <w:tcPr>
            <w:tcW w:w="7153" w:type="dxa"/>
            <w:gridSpan w:val="7"/>
            <w:noWrap w:val="0"/>
            <w:vAlign w:val="top"/>
          </w:tcPr>
          <w:p>
            <w:pPr>
              <w:keepNext w:val="0"/>
              <w:keepLines w:val="0"/>
              <w:pageBreakBefore w:val="0"/>
              <w:widowControl w:val="0"/>
              <w:kinsoku/>
              <w:wordWrap w:val="0"/>
              <w:overflowPunct/>
              <w:topLinePunct w:val="0"/>
              <w:autoSpaceDE/>
              <w:autoSpaceDN/>
              <w:bidi w:val="0"/>
              <w:adjustRightInd/>
              <w:snapToGrid/>
              <w:ind w:firstLine="560" w:firstLineChars="200"/>
              <w:jc w:val="right"/>
              <w:textAlignment w:val="auto"/>
              <w:rPr>
                <w:rFonts w:hint="eastAsia" w:ascii="仿宋" w:hAnsi="仿宋" w:eastAsia="仿宋" w:cs="仿宋"/>
                <w:sz w:val="28"/>
                <w:szCs w:val="36"/>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068" w:type="dxa"/>
            <w:noWrap w:val="0"/>
            <w:vAlign w:val="top"/>
          </w:tcPr>
          <w:p>
            <w:pPr>
              <w:keepNext w:val="0"/>
              <w:keepLines w:val="0"/>
              <w:pageBreakBefore w:val="0"/>
              <w:widowControl w:val="0"/>
              <w:kinsoku/>
              <w:wordWrap w:val="0"/>
              <w:overflowPunct/>
              <w:topLinePunct w:val="0"/>
              <w:autoSpaceDE/>
              <w:autoSpaceDN/>
              <w:bidi w:val="0"/>
              <w:adjustRightInd/>
              <w:snapToGrid/>
              <w:jc w:val="both"/>
              <w:textAlignment w:val="auto"/>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通讯地址</w:t>
            </w:r>
          </w:p>
        </w:tc>
        <w:tc>
          <w:tcPr>
            <w:tcW w:w="4690" w:type="dxa"/>
            <w:gridSpan w:val="5"/>
            <w:noWrap w:val="0"/>
            <w:vAlign w:val="top"/>
          </w:tcPr>
          <w:p>
            <w:pPr>
              <w:keepNext w:val="0"/>
              <w:keepLines w:val="0"/>
              <w:pageBreakBefore w:val="0"/>
              <w:widowControl w:val="0"/>
              <w:kinsoku/>
              <w:wordWrap w:val="0"/>
              <w:overflowPunct/>
              <w:topLinePunct w:val="0"/>
              <w:autoSpaceDE/>
              <w:autoSpaceDN/>
              <w:bidi w:val="0"/>
              <w:adjustRightInd/>
              <w:snapToGrid/>
              <w:ind w:firstLine="560" w:firstLineChars="200"/>
              <w:jc w:val="center"/>
              <w:textAlignment w:val="auto"/>
              <w:rPr>
                <w:rFonts w:hint="eastAsia" w:ascii="仿宋" w:hAnsi="仿宋" w:eastAsia="仿宋" w:cs="仿宋"/>
                <w:sz w:val="28"/>
                <w:szCs w:val="36"/>
                <w:lang w:val="en-US" w:eastAsia="zh-CN"/>
              </w:rPr>
            </w:pPr>
          </w:p>
        </w:tc>
        <w:tc>
          <w:tcPr>
            <w:tcW w:w="900" w:type="dxa"/>
            <w:noWrap w:val="0"/>
            <w:vAlign w:val="top"/>
          </w:tcPr>
          <w:p>
            <w:pPr>
              <w:keepNext w:val="0"/>
              <w:keepLines w:val="0"/>
              <w:pageBreakBefore w:val="0"/>
              <w:widowControl w:val="0"/>
              <w:kinsoku/>
              <w:wordWrap w:val="0"/>
              <w:overflowPunct/>
              <w:topLinePunct w:val="0"/>
              <w:autoSpaceDE/>
              <w:autoSpaceDN/>
              <w:bidi w:val="0"/>
              <w:adjustRightInd/>
              <w:snapToGrid/>
              <w:jc w:val="both"/>
              <w:textAlignment w:val="auto"/>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邮编</w:t>
            </w:r>
          </w:p>
        </w:tc>
        <w:tc>
          <w:tcPr>
            <w:tcW w:w="1563" w:type="dxa"/>
            <w:noWrap w:val="0"/>
            <w:vAlign w:val="top"/>
          </w:tcPr>
          <w:p>
            <w:pPr>
              <w:keepNext w:val="0"/>
              <w:keepLines w:val="0"/>
              <w:pageBreakBefore w:val="0"/>
              <w:widowControl w:val="0"/>
              <w:kinsoku/>
              <w:wordWrap w:val="0"/>
              <w:overflowPunct/>
              <w:topLinePunct w:val="0"/>
              <w:autoSpaceDE/>
              <w:autoSpaceDN/>
              <w:bidi w:val="0"/>
              <w:adjustRightInd/>
              <w:snapToGrid/>
              <w:ind w:firstLine="560" w:firstLineChars="200"/>
              <w:jc w:val="right"/>
              <w:textAlignment w:val="auto"/>
              <w:rPr>
                <w:rFonts w:hint="eastAsia" w:ascii="仿宋" w:hAnsi="仿宋" w:eastAsia="仿宋" w:cs="仿宋"/>
                <w:sz w:val="28"/>
                <w:szCs w:val="36"/>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068" w:type="dxa"/>
            <w:noWrap w:val="0"/>
            <w:vAlign w:val="top"/>
          </w:tcPr>
          <w:p>
            <w:pPr>
              <w:keepNext w:val="0"/>
              <w:keepLines w:val="0"/>
              <w:pageBreakBefore w:val="0"/>
              <w:widowControl w:val="0"/>
              <w:kinsoku/>
              <w:wordWrap w:val="0"/>
              <w:overflowPunct/>
              <w:topLinePunct w:val="0"/>
              <w:autoSpaceDE/>
              <w:autoSpaceDN/>
              <w:bidi w:val="0"/>
              <w:adjustRightInd/>
              <w:snapToGrid/>
              <w:jc w:val="both"/>
              <w:textAlignment w:val="auto"/>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联系人</w:t>
            </w:r>
          </w:p>
        </w:tc>
        <w:tc>
          <w:tcPr>
            <w:tcW w:w="1047" w:type="dxa"/>
            <w:noWrap w:val="0"/>
            <w:vAlign w:val="top"/>
          </w:tcPr>
          <w:p>
            <w:pPr>
              <w:keepNext w:val="0"/>
              <w:keepLines w:val="0"/>
              <w:pageBreakBefore w:val="0"/>
              <w:widowControl w:val="0"/>
              <w:kinsoku/>
              <w:wordWrap w:val="0"/>
              <w:overflowPunct/>
              <w:topLinePunct w:val="0"/>
              <w:autoSpaceDE/>
              <w:autoSpaceDN/>
              <w:bidi w:val="0"/>
              <w:adjustRightInd/>
              <w:snapToGrid/>
              <w:ind w:firstLine="560" w:firstLineChars="200"/>
              <w:jc w:val="center"/>
              <w:textAlignment w:val="auto"/>
              <w:rPr>
                <w:rFonts w:hint="eastAsia" w:ascii="仿宋" w:hAnsi="仿宋" w:eastAsia="仿宋" w:cs="仿宋"/>
                <w:sz w:val="28"/>
                <w:szCs w:val="36"/>
                <w:lang w:val="en-US" w:eastAsia="zh-CN"/>
              </w:rPr>
            </w:pPr>
          </w:p>
        </w:tc>
        <w:tc>
          <w:tcPr>
            <w:tcW w:w="840" w:type="dxa"/>
            <w:noWrap w:val="0"/>
            <w:vAlign w:val="top"/>
          </w:tcPr>
          <w:p>
            <w:pPr>
              <w:keepNext w:val="0"/>
              <w:keepLines w:val="0"/>
              <w:pageBreakBefore w:val="0"/>
              <w:widowControl w:val="0"/>
              <w:kinsoku/>
              <w:wordWrap w:val="0"/>
              <w:overflowPunct/>
              <w:topLinePunct w:val="0"/>
              <w:autoSpaceDE/>
              <w:autoSpaceDN/>
              <w:bidi w:val="0"/>
              <w:adjustRightInd/>
              <w:snapToGrid/>
              <w:jc w:val="both"/>
              <w:textAlignment w:val="auto"/>
              <w:rPr>
                <w:rFonts w:hint="default" w:ascii="仿宋" w:hAnsi="仿宋" w:eastAsia="仿宋" w:cs="仿宋"/>
                <w:sz w:val="28"/>
                <w:szCs w:val="36"/>
                <w:lang w:val="en-US" w:eastAsia="zh-CN"/>
              </w:rPr>
            </w:pPr>
            <w:r>
              <w:rPr>
                <w:rFonts w:hint="eastAsia" w:ascii="仿宋" w:hAnsi="仿宋" w:eastAsia="仿宋" w:cs="仿宋"/>
                <w:sz w:val="28"/>
                <w:szCs w:val="36"/>
                <w:lang w:val="en-US" w:eastAsia="zh-CN"/>
              </w:rPr>
              <w:t>手机</w:t>
            </w:r>
          </w:p>
        </w:tc>
        <w:tc>
          <w:tcPr>
            <w:tcW w:w="1680" w:type="dxa"/>
            <w:noWrap w:val="0"/>
            <w:vAlign w:val="top"/>
          </w:tcPr>
          <w:p>
            <w:pPr>
              <w:keepNext w:val="0"/>
              <w:keepLines w:val="0"/>
              <w:pageBreakBefore w:val="0"/>
              <w:widowControl w:val="0"/>
              <w:kinsoku/>
              <w:wordWrap w:val="0"/>
              <w:overflowPunct/>
              <w:topLinePunct w:val="0"/>
              <w:autoSpaceDE/>
              <w:autoSpaceDN/>
              <w:bidi w:val="0"/>
              <w:adjustRightInd/>
              <w:snapToGrid/>
              <w:ind w:firstLine="560" w:firstLineChars="200"/>
              <w:jc w:val="right"/>
              <w:textAlignment w:val="auto"/>
              <w:rPr>
                <w:rFonts w:hint="eastAsia" w:ascii="仿宋" w:hAnsi="仿宋" w:eastAsia="仿宋" w:cs="仿宋"/>
                <w:sz w:val="28"/>
                <w:szCs w:val="36"/>
                <w:lang w:val="en-US" w:eastAsia="zh-CN"/>
              </w:rPr>
            </w:pPr>
          </w:p>
        </w:tc>
        <w:tc>
          <w:tcPr>
            <w:tcW w:w="945" w:type="dxa"/>
            <w:noWrap w:val="0"/>
            <w:vAlign w:val="top"/>
          </w:tcPr>
          <w:p>
            <w:pPr>
              <w:keepNext w:val="0"/>
              <w:keepLines w:val="0"/>
              <w:pageBreakBefore w:val="0"/>
              <w:widowControl w:val="0"/>
              <w:kinsoku/>
              <w:wordWrap w:val="0"/>
              <w:overflowPunct/>
              <w:topLinePunct w:val="0"/>
              <w:autoSpaceDE/>
              <w:autoSpaceDN/>
              <w:bidi w:val="0"/>
              <w:adjustRightInd/>
              <w:snapToGrid/>
              <w:jc w:val="both"/>
              <w:textAlignment w:val="auto"/>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Email</w:t>
            </w:r>
          </w:p>
        </w:tc>
        <w:tc>
          <w:tcPr>
            <w:tcW w:w="2641" w:type="dxa"/>
            <w:gridSpan w:val="3"/>
            <w:noWrap w:val="0"/>
            <w:vAlign w:val="top"/>
          </w:tcPr>
          <w:p>
            <w:pPr>
              <w:keepNext w:val="0"/>
              <w:keepLines w:val="0"/>
              <w:pageBreakBefore w:val="0"/>
              <w:widowControl w:val="0"/>
              <w:kinsoku/>
              <w:wordWrap w:val="0"/>
              <w:overflowPunct/>
              <w:topLinePunct w:val="0"/>
              <w:autoSpaceDE/>
              <w:autoSpaceDN/>
              <w:bidi w:val="0"/>
              <w:adjustRightInd/>
              <w:snapToGrid/>
              <w:ind w:firstLine="560" w:firstLineChars="200"/>
              <w:jc w:val="right"/>
              <w:textAlignment w:val="auto"/>
              <w:rPr>
                <w:rFonts w:hint="eastAsia" w:ascii="仿宋" w:hAnsi="仿宋" w:eastAsia="仿宋" w:cs="仿宋"/>
                <w:sz w:val="28"/>
                <w:szCs w:val="36"/>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068" w:type="dxa"/>
            <w:noWrap w:val="0"/>
            <w:vAlign w:val="center"/>
          </w:tcPr>
          <w:p>
            <w:pPr>
              <w:keepNext w:val="0"/>
              <w:keepLines w:val="0"/>
              <w:pageBreakBefore w:val="0"/>
              <w:widowControl w:val="0"/>
              <w:kinsoku/>
              <w:wordWrap w:val="0"/>
              <w:overflowPunct/>
              <w:topLinePunct w:val="0"/>
              <w:autoSpaceDE/>
              <w:autoSpaceDN/>
              <w:bidi w:val="0"/>
              <w:adjustRightInd/>
              <w:snapToGrid/>
              <w:jc w:val="both"/>
              <w:textAlignment w:val="auto"/>
              <w:rPr>
                <w:rFonts w:hint="default" w:ascii="仿宋" w:hAnsi="仿宋" w:eastAsia="仿宋" w:cs="仿宋"/>
                <w:sz w:val="28"/>
                <w:szCs w:val="36"/>
                <w:lang w:val="en-US" w:eastAsia="zh-CN"/>
              </w:rPr>
            </w:pPr>
            <w:r>
              <w:rPr>
                <w:rFonts w:hint="eastAsia" w:ascii="仿宋" w:hAnsi="仿宋" w:eastAsia="仿宋" w:cs="仿宋"/>
                <w:sz w:val="28"/>
                <w:szCs w:val="36"/>
                <w:lang w:val="en-US" w:eastAsia="zh-CN"/>
              </w:rPr>
              <w:t>申报领域</w:t>
            </w:r>
          </w:p>
        </w:tc>
        <w:tc>
          <w:tcPr>
            <w:tcW w:w="7153" w:type="dxa"/>
            <w:gridSpan w:val="7"/>
            <w:noWrap w:val="0"/>
            <w:vAlign w:val="center"/>
          </w:tcPr>
          <w:p>
            <w:pPr>
              <w:keepNext w:val="0"/>
              <w:keepLines w:val="0"/>
              <w:pageBreakBefore w:val="0"/>
              <w:widowControl w:val="0"/>
              <w:kinsoku/>
              <w:wordWrap w:val="0"/>
              <w:overflowPunct/>
              <w:topLinePunct w:val="0"/>
              <w:autoSpaceDE/>
              <w:autoSpaceDN/>
              <w:bidi w:val="0"/>
              <w:adjustRightInd/>
              <w:snapToGrid/>
              <w:jc w:val="both"/>
              <w:textAlignment w:val="auto"/>
              <w:rPr>
                <w:rFonts w:hint="default" w:ascii="仿宋" w:hAnsi="仿宋" w:eastAsia="仿宋" w:cs="仿宋"/>
                <w:sz w:val="28"/>
                <w:szCs w:val="36"/>
                <w:lang w:val="en-US" w:eastAsia="zh-CN"/>
              </w:rPr>
            </w:pPr>
            <w:r>
              <w:rPr>
                <w:rFonts w:hint="eastAsia" w:ascii="仿宋" w:hAnsi="仿宋" w:eastAsia="仿宋" w:cs="仿宋"/>
                <w:sz w:val="28"/>
                <w:szCs w:val="36"/>
                <w:lang w:val="en-US" w:eastAsia="zh-CN"/>
              </w:rPr>
              <w:t xml:space="preserve">    </w:t>
            </w:r>
            <w:r>
              <w:rPr>
                <w:rFonts w:hint="eastAsia" w:ascii="仿宋" w:hAnsi="仿宋" w:eastAsia="仿宋" w:cs="仿宋"/>
                <w:sz w:val="28"/>
                <w:szCs w:val="36"/>
                <w:lang w:val="en-US" w:eastAsia="zh-CN"/>
              </w:rPr>
              <w:sym w:font="Wingdings 2" w:char="0052"/>
            </w:r>
            <w:r>
              <w:rPr>
                <w:rFonts w:hint="eastAsia" w:ascii="仿宋" w:hAnsi="仿宋" w:eastAsia="仿宋" w:cs="仿宋"/>
                <w:sz w:val="28"/>
                <w:szCs w:val="36"/>
                <w:lang w:val="en-US" w:eastAsia="zh-CN"/>
              </w:rPr>
              <w:t xml:space="preserve">废水处理   □大气治理   □固废处理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90" w:hRule="atLeast"/>
          <w:jc w:val="center"/>
        </w:trPr>
        <w:tc>
          <w:tcPr>
            <w:tcW w:w="9221" w:type="dxa"/>
            <w:gridSpan w:val="8"/>
            <w:noWrap w:val="0"/>
            <w:vAlign w:val="top"/>
          </w:tcPr>
          <w:p>
            <w:pPr>
              <w:keepNext w:val="0"/>
              <w:keepLines w:val="0"/>
              <w:pageBreakBefore w:val="0"/>
              <w:widowControl w:val="0"/>
              <w:kinsoku/>
              <w:wordWrap w:val="0"/>
              <w:overflowPunct/>
              <w:topLinePunct w:val="0"/>
              <w:autoSpaceDE/>
              <w:autoSpaceDN/>
              <w:bidi w:val="0"/>
              <w:adjustRightInd/>
              <w:snapToGrid/>
              <w:jc w:val="both"/>
              <w:textAlignment w:val="auto"/>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产品简介：</w:t>
            </w:r>
          </w:p>
          <w:p>
            <w:pPr>
              <w:keepNext w:val="0"/>
              <w:keepLines w:val="0"/>
              <w:pageBreakBefore w:val="0"/>
              <w:widowControl w:val="0"/>
              <w:kinsoku/>
              <w:wordWrap w:val="0"/>
              <w:overflowPunct/>
              <w:topLinePunct w:val="0"/>
              <w:autoSpaceDE/>
              <w:autoSpaceDN/>
              <w:bidi w:val="0"/>
              <w:adjustRightInd/>
              <w:snapToGrid/>
              <w:jc w:val="both"/>
              <w:textAlignment w:val="auto"/>
              <w:rPr>
                <w:rFonts w:hint="default" w:ascii="仿宋" w:hAnsi="仿宋" w:eastAsia="仿宋" w:cs="仿宋"/>
                <w:sz w:val="28"/>
                <w:szCs w:val="36"/>
                <w:lang w:val="en-US" w:eastAsia="zh-CN"/>
              </w:rPr>
            </w:pPr>
            <w:r>
              <w:rPr>
                <w:rFonts w:hint="eastAsia" w:ascii="仿宋" w:hAnsi="仿宋" w:eastAsia="仿宋" w:cs="仿宋"/>
                <w:sz w:val="28"/>
                <w:szCs w:val="36"/>
                <w:lang w:val="en-US" w:eastAsia="zh-CN"/>
              </w:rPr>
              <w:t>（包括工作原理、技术指标与参数、选型原则、设备结构等，可附表）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37" w:hRule="atLeast"/>
          <w:jc w:val="center"/>
        </w:trPr>
        <w:tc>
          <w:tcPr>
            <w:tcW w:w="9221" w:type="dxa"/>
            <w:gridSpan w:val="8"/>
            <w:noWrap w:val="0"/>
            <w:vAlign w:val="top"/>
          </w:tcPr>
          <w:p>
            <w:pPr>
              <w:keepNext w:val="0"/>
              <w:keepLines w:val="0"/>
              <w:pageBreakBefore w:val="0"/>
              <w:widowControl w:val="0"/>
              <w:kinsoku/>
              <w:wordWrap w:val="0"/>
              <w:overflowPunct/>
              <w:topLinePunct w:val="0"/>
              <w:autoSpaceDE/>
              <w:autoSpaceDN/>
              <w:bidi w:val="0"/>
              <w:adjustRightInd/>
              <w:snapToGrid/>
              <w:jc w:val="both"/>
              <w:textAlignment w:val="auto"/>
              <w:rPr>
                <w:rFonts w:hint="default" w:ascii="仿宋" w:hAnsi="仿宋" w:eastAsia="仿宋" w:cs="仿宋"/>
                <w:sz w:val="28"/>
                <w:szCs w:val="36"/>
                <w:lang w:val="en-US" w:eastAsia="zh-CN"/>
              </w:rPr>
            </w:pPr>
            <w:r>
              <w:rPr>
                <w:rFonts w:hint="eastAsia" w:ascii="仿宋" w:hAnsi="仿宋" w:eastAsia="仿宋" w:cs="仿宋"/>
                <w:sz w:val="28"/>
                <w:szCs w:val="36"/>
                <w:lang w:val="en-US" w:eastAsia="zh-CN"/>
              </w:rPr>
              <w:t>应用案例：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62" w:hRule="atLeast"/>
          <w:jc w:val="center"/>
        </w:trPr>
        <w:tc>
          <w:tcPr>
            <w:tcW w:w="9221" w:type="dxa"/>
            <w:gridSpan w:val="8"/>
            <w:noWrap w:val="0"/>
            <w:vAlign w:val="top"/>
          </w:tcPr>
          <w:p>
            <w:pPr>
              <w:keepNext w:val="0"/>
              <w:keepLines w:val="0"/>
              <w:pageBreakBefore w:val="0"/>
              <w:widowControl w:val="0"/>
              <w:kinsoku/>
              <w:wordWrap w:val="0"/>
              <w:overflowPunct/>
              <w:topLinePunct w:val="0"/>
              <w:autoSpaceDE/>
              <w:autoSpaceDN/>
              <w:bidi w:val="0"/>
              <w:adjustRightInd/>
              <w:snapToGrid/>
              <w:jc w:val="both"/>
              <w:textAlignment w:val="auto"/>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 xml:space="preserve">       </w:t>
            </w:r>
          </w:p>
          <w:p>
            <w:pPr>
              <w:keepNext w:val="0"/>
              <w:keepLines w:val="0"/>
              <w:pageBreakBefore w:val="0"/>
              <w:widowControl w:val="0"/>
              <w:kinsoku/>
              <w:wordWrap w:val="0"/>
              <w:overflowPunct/>
              <w:topLinePunct w:val="0"/>
              <w:autoSpaceDE/>
              <w:autoSpaceDN/>
              <w:bidi w:val="0"/>
              <w:adjustRightInd/>
              <w:snapToGrid/>
              <w:ind w:firstLine="560" w:firstLineChars="200"/>
              <w:jc w:val="both"/>
              <w:textAlignment w:val="auto"/>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本单位承诺申报资料真实可靠，授权组委会予以宣传及评定，特此声明。</w:t>
            </w:r>
          </w:p>
          <w:p>
            <w:pPr>
              <w:keepNext w:val="0"/>
              <w:keepLines w:val="0"/>
              <w:pageBreakBefore w:val="0"/>
              <w:widowControl w:val="0"/>
              <w:kinsoku/>
              <w:wordWrap w:val="0"/>
              <w:overflowPunct/>
              <w:topLinePunct w:val="0"/>
              <w:autoSpaceDE/>
              <w:autoSpaceDN/>
              <w:bidi w:val="0"/>
              <w:adjustRightInd/>
              <w:snapToGrid/>
              <w:jc w:val="right"/>
              <w:textAlignment w:val="auto"/>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 xml:space="preserve">           申报单位盖章 </w:t>
            </w:r>
          </w:p>
          <w:p>
            <w:pPr>
              <w:keepNext w:val="0"/>
              <w:keepLines w:val="0"/>
              <w:pageBreakBefore w:val="0"/>
              <w:widowControl w:val="0"/>
              <w:kinsoku/>
              <w:wordWrap w:val="0"/>
              <w:overflowPunct/>
              <w:topLinePunct w:val="0"/>
              <w:autoSpaceDE/>
              <w:autoSpaceDN/>
              <w:bidi w:val="0"/>
              <w:adjustRightInd/>
              <w:snapToGrid/>
              <w:jc w:val="right"/>
              <w:textAlignment w:val="auto"/>
              <w:rPr>
                <w:rFonts w:hint="default" w:ascii="仿宋" w:hAnsi="仿宋" w:eastAsia="仿宋" w:cs="仿宋"/>
                <w:sz w:val="28"/>
                <w:szCs w:val="36"/>
                <w:lang w:val="en-US" w:eastAsia="zh-CN"/>
              </w:rPr>
            </w:pPr>
            <w:r>
              <w:rPr>
                <w:rFonts w:hint="eastAsia" w:ascii="仿宋" w:hAnsi="仿宋" w:eastAsia="仿宋" w:cs="仿宋"/>
                <w:sz w:val="28"/>
                <w:szCs w:val="36"/>
                <w:lang w:val="en-US" w:eastAsia="zh-CN"/>
              </w:rPr>
              <w:t xml:space="preserve">                                年 月  日</w:t>
            </w:r>
          </w:p>
        </w:tc>
      </w:tr>
    </w:tbl>
    <w:p>
      <w:pPr>
        <w:keepNext w:val="0"/>
        <w:keepLines w:val="0"/>
        <w:pageBreakBefore w:val="0"/>
        <w:widowControl w:val="0"/>
        <w:kinsoku/>
        <w:wordWrap w:val="0"/>
        <w:overflowPunct/>
        <w:topLinePunct w:val="0"/>
        <w:autoSpaceDE/>
        <w:autoSpaceDN/>
        <w:bidi w:val="0"/>
        <w:adjustRightInd/>
        <w:snapToGrid/>
        <w:ind w:firstLine="560" w:firstLineChars="200"/>
        <w:jc w:val="right"/>
        <w:textAlignment w:val="auto"/>
        <w:rPr>
          <w:rFonts w:hint="default" w:ascii="仿宋" w:hAnsi="仿宋" w:eastAsia="仿宋" w:cs="仿宋"/>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仿宋" w:hAnsi="仿宋" w:eastAsia="仿宋" w:cs="仿宋"/>
          <w:sz w:val="24"/>
          <w:szCs w:val="24"/>
          <w:lang w:val="en-US" w:eastAsia="zh-CN"/>
        </w:rPr>
      </w:pPr>
    </w:p>
    <w:sectPr>
      <w:pgSz w:w="11906" w:h="16838"/>
      <w:pgMar w:top="1440" w:right="1406" w:bottom="1440" w:left="140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2F3DC60-B4BF-4030-A5B1-6AA14F19F5F2}"/>
  </w:font>
  <w:font w:name="Arial">
    <w:panose1 w:val="020B0604020202020204"/>
    <w:charset w:val="01"/>
    <w:family w:val="swiss"/>
    <w:pitch w:val="default"/>
    <w:sig w:usb0="E0002EFF" w:usb1="C000785B" w:usb2="00000009" w:usb3="00000000" w:csb0="400001FF" w:csb1="FFFF0000"/>
    <w:embedRegular r:id="rId2" w:fontKey="{DD56DA73-29BE-407B-8DAE-0E0C44F6DEA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4A42BF0-2F06-4CC4-A3F3-64A7BFB52DB5}"/>
  </w:font>
  <w:font w:name="Symbol">
    <w:panose1 w:val="05050102010706020507"/>
    <w:charset w:val="02"/>
    <w:family w:val="roman"/>
    <w:pitch w:val="default"/>
    <w:sig w:usb0="00000000" w:usb1="00000000" w:usb2="00000000" w:usb3="00000000" w:csb0="80000000" w:csb1="00000000"/>
    <w:embedRegular r:id="rId4" w:fontKey="{C6023EF4-B0E6-4324-8C72-6DAC46E6545B}"/>
  </w:font>
  <w:font w:name="Calibri">
    <w:panose1 w:val="020F0502020204030204"/>
    <w:charset w:val="00"/>
    <w:family w:val="swiss"/>
    <w:pitch w:val="default"/>
    <w:sig w:usb0="E4002EFF" w:usb1="C000247B" w:usb2="00000009" w:usb3="00000000" w:csb0="200001FF" w:csb1="00000000"/>
    <w:embedRegular r:id="rId5" w:fontKey="{F8B3727B-A1AD-42CD-A17A-94EBF9263248}"/>
  </w:font>
  <w:font w:name="方正宋三_GBK">
    <w:panose1 w:val="03000509000000000000"/>
    <w:charset w:val="86"/>
    <w:family w:val="auto"/>
    <w:pitch w:val="default"/>
    <w:sig w:usb0="00000001" w:usb1="080E0000" w:usb2="00000000" w:usb3="00000000" w:csb0="00040000" w:csb1="00000000"/>
    <w:embedRegular r:id="rId6" w:fontKey="{F9476FBE-FAD7-477F-8A29-DBCDB1C19356}"/>
  </w:font>
  <w:font w:name="新宋体">
    <w:panose1 w:val="02010609030101010101"/>
    <w:charset w:val="86"/>
    <w:family w:val="modern"/>
    <w:pitch w:val="default"/>
    <w:sig w:usb0="00000283" w:usb1="288F0000" w:usb2="00000006" w:usb3="00000000" w:csb0="00040001" w:csb1="00000000"/>
    <w:embedRegular r:id="rId7" w:fontKey="{3895DBE0-573E-4B5B-A0F2-EE431F8DA9D5}"/>
  </w:font>
  <w:font w:name="仿宋">
    <w:panose1 w:val="02010609060101010101"/>
    <w:charset w:val="86"/>
    <w:family w:val="modern"/>
    <w:pitch w:val="default"/>
    <w:sig w:usb0="800002BF" w:usb1="38CF7CFA" w:usb2="00000016" w:usb3="00000000" w:csb0="00040001" w:csb1="00000000"/>
    <w:embedRegular r:id="rId8" w:fontKey="{57D65B43-9143-45D0-A3AF-18D85C0C0B5A}"/>
  </w:font>
  <w:font w:name="Wingdings 2">
    <w:panose1 w:val="05020102010507070707"/>
    <w:charset w:val="00"/>
    <w:family w:val="auto"/>
    <w:pitch w:val="default"/>
    <w:sig w:usb0="00000000" w:usb1="00000000" w:usb2="00000000" w:usb3="00000000" w:csb0="80000000" w:csb1="00000000"/>
    <w:embedRegular r:id="rId9" w:fontKey="{47B609C3-23E0-4CED-9C71-3F8FA76DF7B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5E7C35"/>
    <w:rsid w:val="00477981"/>
    <w:rsid w:val="0437166C"/>
    <w:rsid w:val="051D106F"/>
    <w:rsid w:val="0B9008B4"/>
    <w:rsid w:val="0CD50CC4"/>
    <w:rsid w:val="0E8E7B70"/>
    <w:rsid w:val="10A96539"/>
    <w:rsid w:val="147A2BB7"/>
    <w:rsid w:val="15774CE3"/>
    <w:rsid w:val="16761EC0"/>
    <w:rsid w:val="168877F4"/>
    <w:rsid w:val="19E73E41"/>
    <w:rsid w:val="1BBA6216"/>
    <w:rsid w:val="1BBD01F9"/>
    <w:rsid w:val="1BBF5926"/>
    <w:rsid w:val="1D043BFA"/>
    <w:rsid w:val="20441139"/>
    <w:rsid w:val="219E18EA"/>
    <w:rsid w:val="25246826"/>
    <w:rsid w:val="278D44F7"/>
    <w:rsid w:val="29DD01D6"/>
    <w:rsid w:val="2A84536C"/>
    <w:rsid w:val="2AD84C9B"/>
    <w:rsid w:val="2D597C72"/>
    <w:rsid w:val="2E74637B"/>
    <w:rsid w:val="30A56659"/>
    <w:rsid w:val="311A358A"/>
    <w:rsid w:val="313C7301"/>
    <w:rsid w:val="337B4D0F"/>
    <w:rsid w:val="36D71151"/>
    <w:rsid w:val="389514D2"/>
    <w:rsid w:val="39FC4B74"/>
    <w:rsid w:val="3B260720"/>
    <w:rsid w:val="41AB3954"/>
    <w:rsid w:val="42AC4157"/>
    <w:rsid w:val="491059C4"/>
    <w:rsid w:val="492F1CC1"/>
    <w:rsid w:val="499F25F7"/>
    <w:rsid w:val="4A427DEA"/>
    <w:rsid w:val="4B045256"/>
    <w:rsid w:val="4C851D1C"/>
    <w:rsid w:val="4CCC756E"/>
    <w:rsid w:val="4D3955C9"/>
    <w:rsid w:val="50491DFF"/>
    <w:rsid w:val="50FD6401"/>
    <w:rsid w:val="55C070DD"/>
    <w:rsid w:val="562704E7"/>
    <w:rsid w:val="57AB71EF"/>
    <w:rsid w:val="58477713"/>
    <w:rsid w:val="585B4DF7"/>
    <w:rsid w:val="58A25F1C"/>
    <w:rsid w:val="5ABF4959"/>
    <w:rsid w:val="5EB4422B"/>
    <w:rsid w:val="5EF76298"/>
    <w:rsid w:val="60CE33E8"/>
    <w:rsid w:val="618B507E"/>
    <w:rsid w:val="62FD1839"/>
    <w:rsid w:val="66160894"/>
    <w:rsid w:val="6B1328B0"/>
    <w:rsid w:val="6D3E1FD3"/>
    <w:rsid w:val="71BB0B25"/>
    <w:rsid w:val="7780632F"/>
    <w:rsid w:val="77914DED"/>
    <w:rsid w:val="7E5E7C35"/>
    <w:rsid w:val="7F496C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Date"/>
    <w:basedOn w:val="1"/>
    <w:next w:val="1"/>
    <w:qFormat/>
    <w:uiPriority w:val="0"/>
    <w:pPr>
      <w:ind w:left="100" w:leftChars="2500"/>
    </w:pPr>
    <w:rPr>
      <w:rFonts w:ascii="Times New Roman" w:hAnsi="Times New Roman"/>
      <w:szCs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1659</Words>
  <Characters>1757</Characters>
  <Lines>0</Lines>
  <Paragraphs>0</Paragraphs>
  <TotalTime>18</TotalTime>
  <ScaleCrop>false</ScaleCrop>
  <LinksUpToDate>false</LinksUpToDate>
  <CharactersWithSpaces>2174</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2021-03-05T01:03:00Z</dcterms:created>
  <dc:creator>天龙</dc:creator>
  <cp:lastModifiedBy>张小</cp:lastModifiedBy>
  <cp:lastPrinted>2021-11-12T07:02:00Z</cp:lastPrinted>
  <dcterms:modified xsi:type="dcterms:W3CDTF">2021-11-18T07:06:10Z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KSOSaveFontToCloudKey">
    <vt:lpwstr>523278719_btnclosed</vt:lpwstr>
  </property>
  <property fmtid="{D5CDD505-2E9C-101B-9397-08002B2CF9AE}" pid="4" name="ICV">
    <vt:lpwstr>414FDED3A70D40329A08E23D5A912E21</vt:lpwstr>
  </property>
</Properties>
</file>